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90C82" w14:textId="77777777" w:rsidR="006863D6" w:rsidRPr="003A4554" w:rsidRDefault="006863D6">
      <w:pPr>
        <w:rPr>
          <w:rFonts w:ascii="Helvetica" w:hAnsi="Helvetica"/>
          <w:sz w:val="22"/>
          <w:szCs w:val="22"/>
        </w:rPr>
      </w:pPr>
    </w:p>
    <w:p w14:paraId="4E6E7E31" w14:textId="615D5865" w:rsidR="003A4554" w:rsidRPr="003A4554" w:rsidRDefault="003A4554" w:rsidP="003A4554">
      <w:pPr>
        <w:widowControl w:val="0"/>
        <w:autoSpaceDE w:val="0"/>
        <w:autoSpaceDN w:val="0"/>
        <w:adjustRightInd w:val="0"/>
        <w:spacing w:line="280" w:lineRule="atLeast"/>
        <w:rPr>
          <w:rFonts w:ascii="Helvetica" w:hAnsi="Helvetica" w:cs="Times"/>
          <w:sz w:val="22"/>
          <w:szCs w:val="22"/>
        </w:rPr>
      </w:pPr>
      <w:r w:rsidRPr="003A4554">
        <w:rPr>
          <w:rFonts w:ascii="Helvetica" w:hAnsi="Helvetica" w:cs="Times"/>
          <w:noProof/>
          <w:sz w:val="22"/>
          <w:szCs w:val="22"/>
        </w:rPr>
        <w:drawing>
          <wp:inline distT="0" distB="0" distL="0" distR="0" wp14:anchorId="5514FF78" wp14:editId="21998433">
            <wp:extent cx="4635500" cy="7150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5500" cy="715010"/>
                    </a:xfrm>
                    <a:prstGeom prst="rect">
                      <a:avLst/>
                    </a:prstGeom>
                    <a:noFill/>
                    <a:ln>
                      <a:noFill/>
                    </a:ln>
                  </pic:spPr>
                </pic:pic>
              </a:graphicData>
            </a:graphic>
          </wp:inline>
        </w:drawing>
      </w:r>
    </w:p>
    <w:p w14:paraId="197157B2" w14:textId="77777777" w:rsidR="003A4554" w:rsidRPr="003A4554" w:rsidRDefault="003A4554" w:rsidP="003A4554">
      <w:pPr>
        <w:widowControl w:val="0"/>
        <w:autoSpaceDE w:val="0"/>
        <w:autoSpaceDN w:val="0"/>
        <w:adjustRightInd w:val="0"/>
        <w:spacing w:line="280" w:lineRule="atLeast"/>
        <w:rPr>
          <w:rFonts w:ascii="Helvetica" w:hAnsi="Helvetica" w:cs="Times"/>
          <w:sz w:val="22"/>
          <w:szCs w:val="22"/>
        </w:rPr>
      </w:pPr>
    </w:p>
    <w:p w14:paraId="7FEBFF6E" w14:textId="1E0B0014" w:rsidR="003A4554" w:rsidRPr="003A4554" w:rsidRDefault="003A4554" w:rsidP="003A4554">
      <w:pPr>
        <w:widowControl w:val="0"/>
        <w:autoSpaceDE w:val="0"/>
        <w:autoSpaceDN w:val="0"/>
        <w:adjustRightInd w:val="0"/>
        <w:spacing w:after="240" w:line="340" w:lineRule="atLeast"/>
        <w:rPr>
          <w:rFonts w:ascii="Helvetica" w:hAnsi="Helvetica" w:cs="Times"/>
          <w:sz w:val="22"/>
          <w:szCs w:val="22"/>
          <w:u w:val="single"/>
        </w:rPr>
      </w:pPr>
      <w:r w:rsidRPr="003A4554">
        <w:rPr>
          <w:rFonts w:ascii="Helvetica" w:hAnsi="Helvetica" w:cs="Arial"/>
          <w:b/>
          <w:bCs/>
          <w:sz w:val="22"/>
          <w:szCs w:val="22"/>
          <w:u w:val="single"/>
        </w:rPr>
        <w:t>Annex A</w:t>
      </w:r>
      <w:r w:rsidRPr="003A4554">
        <w:rPr>
          <w:rFonts w:ascii="Helvetica" w:eastAsia="MS Mincho" w:hAnsi="Helvetica" w:cs="MS Mincho"/>
          <w:b/>
          <w:bCs/>
          <w:sz w:val="22"/>
          <w:szCs w:val="22"/>
          <w:u w:val="single"/>
        </w:rPr>
        <w:t xml:space="preserve">  - </w:t>
      </w:r>
      <w:r w:rsidRPr="003A4554">
        <w:rPr>
          <w:rFonts w:ascii="Helvetica" w:hAnsi="Helvetica" w:cs="Arial"/>
          <w:b/>
          <w:bCs/>
          <w:sz w:val="22"/>
          <w:szCs w:val="22"/>
          <w:u w:val="single"/>
        </w:rPr>
        <w:t xml:space="preserve">About the Customer Satisfaction Index of Singapore (CSISG) </w:t>
      </w:r>
    </w:p>
    <w:p w14:paraId="270ED356" w14:textId="77777777" w:rsidR="003A4554" w:rsidRPr="003A4554" w:rsidRDefault="003A4554" w:rsidP="003A4554">
      <w:pPr>
        <w:widowControl w:val="0"/>
        <w:autoSpaceDE w:val="0"/>
        <w:autoSpaceDN w:val="0"/>
        <w:adjustRightInd w:val="0"/>
        <w:spacing w:after="240" w:line="340" w:lineRule="atLeast"/>
        <w:rPr>
          <w:rFonts w:ascii="Helvetica" w:eastAsia="MS Mincho" w:hAnsi="Helvetica" w:cs="MS Mincho"/>
          <w:b/>
          <w:sz w:val="22"/>
          <w:szCs w:val="22"/>
        </w:rPr>
      </w:pPr>
      <w:r w:rsidRPr="003A4554">
        <w:rPr>
          <w:rFonts w:ascii="Helvetica" w:hAnsi="Helvetica" w:cs="Arial"/>
          <w:b/>
          <w:sz w:val="22"/>
          <w:szCs w:val="22"/>
        </w:rPr>
        <w:t>Introduction</w:t>
      </w:r>
      <w:r w:rsidRPr="003A4554">
        <w:rPr>
          <w:rFonts w:ascii="Helvetica" w:eastAsia="MS Mincho" w:hAnsi="Helvetica" w:cs="MS Mincho"/>
          <w:b/>
          <w:sz w:val="22"/>
          <w:szCs w:val="22"/>
        </w:rPr>
        <w:t> </w:t>
      </w:r>
    </w:p>
    <w:p w14:paraId="646AF241" w14:textId="0C549FA4" w:rsidR="003A4554" w:rsidRPr="003A4554" w:rsidRDefault="003A4554" w:rsidP="003A4554">
      <w:pPr>
        <w:widowControl w:val="0"/>
        <w:autoSpaceDE w:val="0"/>
        <w:autoSpaceDN w:val="0"/>
        <w:adjustRightInd w:val="0"/>
        <w:spacing w:after="240" w:line="340" w:lineRule="atLeast"/>
        <w:jc w:val="both"/>
        <w:rPr>
          <w:rFonts w:ascii="Helvetica" w:hAnsi="Helvetica" w:cs="Arial"/>
          <w:sz w:val="22"/>
          <w:szCs w:val="22"/>
        </w:rPr>
      </w:pPr>
      <w:r w:rsidRPr="003A4554">
        <w:rPr>
          <w:rFonts w:ascii="Helvetica" w:hAnsi="Helvetica" w:cs="Arial"/>
          <w:sz w:val="22"/>
          <w:szCs w:val="22"/>
        </w:rPr>
        <w:t xml:space="preserve">The Customer Satisfaction Index of Singapore (CSISG) is a landmark study that computes customer satisfaction scores at the national, sector, sub-sector, and company levels with the intent of producing a rigorous, objective and comprehensive assessment of Singapore's service levels. </w:t>
      </w:r>
    </w:p>
    <w:p w14:paraId="3FE5156B" w14:textId="77777777" w:rsidR="003A4554" w:rsidRPr="003A4554" w:rsidRDefault="003A4554" w:rsidP="003A4554">
      <w:pPr>
        <w:widowControl w:val="0"/>
        <w:autoSpaceDE w:val="0"/>
        <w:autoSpaceDN w:val="0"/>
        <w:adjustRightInd w:val="0"/>
        <w:spacing w:after="240" w:line="340" w:lineRule="atLeast"/>
        <w:jc w:val="both"/>
        <w:rPr>
          <w:rFonts w:ascii="Helvetica" w:hAnsi="Helvetica" w:cs="Times"/>
          <w:sz w:val="22"/>
          <w:szCs w:val="22"/>
        </w:rPr>
      </w:pPr>
      <w:r w:rsidRPr="003A4554">
        <w:rPr>
          <w:rFonts w:ascii="Helvetica" w:hAnsi="Helvetica" w:cs="Arial"/>
          <w:sz w:val="22"/>
          <w:szCs w:val="22"/>
        </w:rPr>
        <w:t xml:space="preserve">CSISG measures customers’ cumulative satisfaction with companies. The scores are generated using a structural equations model (please refer to figure 1) based on survey data collected from end-users after consumption of products and services. Sub-sector scores are derived as a weighted average of company scores, in proportion to the revenue contributions of companies. Sector scores are derived in a similar fashion, aggregating the sub-sector scores proportionately to each sub-sector’s revenue contributions. CSISG scores customer satisfaction on a scale of 0 to 100 with higher scores representing better performance. </w:t>
      </w:r>
    </w:p>
    <w:p w14:paraId="486FA544" w14:textId="635571B8" w:rsidR="003A4554" w:rsidRDefault="003A4554" w:rsidP="003A4554">
      <w:pPr>
        <w:widowControl w:val="0"/>
        <w:autoSpaceDE w:val="0"/>
        <w:autoSpaceDN w:val="0"/>
        <w:adjustRightInd w:val="0"/>
        <w:spacing w:after="240" w:line="340" w:lineRule="atLeast"/>
        <w:jc w:val="both"/>
        <w:rPr>
          <w:rFonts w:ascii="Helvetica" w:hAnsi="Helvetica" w:cs="Arial"/>
          <w:sz w:val="22"/>
          <w:szCs w:val="22"/>
        </w:rPr>
      </w:pPr>
      <w:r w:rsidRPr="003A4554">
        <w:rPr>
          <w:rFonts w:ascii="Helvetica" w:hAnsi="Helvetica" w:cs="Arial"/>
          <w:sz w:val="22"/>
          <w:szCs w:val="22"/>
        </w:rPr>
        <w:t xml:space="preserve">The methodological foundations of the CSISG are based on the American Customer Satisfaction Index (ACSI) that was developed by the National Quality Research Center (NQRC) at the University of Michigan. ACSI has been standardised measure of customer satisfaction in the United States economy since 1994. </w:t>
      </w:r>
    </w:p>
    <w:p w14:paraId="470B22EF" w14:textId="4EDA8189" w:rsidR="003A4554" w:rsidRPr="003A4554" w:rsidRDefault="003A4554" w:rsidP="003A4554">
      <w:pPr>
        <w:widowControl w:val="0"/>
        <w:autoSpaceDE w:val="0"/>
        <w:autoSpaceDN w:val="0"/>
        <w:adjustRightInd w:val="0"/>
        <w:spacing w:after="240" w:line="340" w:lineRule="atLeast"/>
        <w:jc w:val="both"/>
        <w:rPr>
          <w:rFonts w:ascii="Helvetica" w:hAnsi="Helvetica" w:cs="Times"/>
          <w:sz w:val="22"/>
          <w:szCs w:val="22"/>
        </w:rPr>
      </w:pPr>
      <w:r w:rsidRPr="003A4554">
        <w:rPr>
          <w:rFonts w:ascii="Helvetica" w:hAnsi="Helvetica" w:cs="Arial"/>
          <w:sz w:val="22"/>
          <w:szCs w:val="22"/>
        </w:rPr>
        <w:t>Given that the CSISG is the only national customer satisfaction measurement tool with</w:t>
      </w:r>
      <w:r w:rsidR="00C37816">
        <w:rPr>
          <w:rFonts w:ascii="Helvetica" w:hAnsi="Helvetica" w:cs="Arial"/>
          <w:sz w:val="22"/>
          <w:szCs w:val="22"/>
        </w:rPr>
        <w:t xml:space="preserve"> cross sector capabilities, ISE</w:t>
      </w:r>
      <w:bookmarkStart w:id="0" w:name="_GoBack"/>
      <w:bookmarkEnd w:id="0"/>
      <w:r w:rsidRPr="003A4554">
        <w:rPr>
          <w:rFonts w:ascii="Helvetica" w:hAnsi="Helvetica" w:cs="Arial"/>
          <w:sz w:val="22"/>
          <w:szCs w:val="22"/>
        </w:rPr>
        <w:t xml:space="preserve"> is able to provide organisations with exclusive benchmarking insights about customer satisfaction as well as use predictive analytics and regression models to pinpoint drivers that would deliver the most impact.</w:t>
      </w:r>
    </w:p>
    <w:p w14:paraId="69A6A118" w14:textId="77777777" w:rsidR="003A4554" w:rsidRDefault="003A4554" w:rsidP="003A4554">
      <w:pPr>
        <w:widowControl w:val="0"/>
        <w:autoSpaceDE w:val="0"/>
        <w:autoSpaceDN w:val="0"/>
        <w:adjustRightInd w:val="0"/>
        <w:spacing w:after="240" w:line="340" w:lineRule="atLeast"/>
        <w:rPr>
          <w:rFonts w:ascii="Helvetica" w:hAnsi="Helvetica" w:cs="Calibri"/>
          <w:sz w:val="22"/>
          <w:szCs w:val="22"/>
        </w:rPr>
      </w:pPr>
    </w:p>
    <w:p w14:paraId="387F12B3" w14:textId="77777777" w:rsidR="003A4554" w:rsidRDefault="003A4554" w:rsidP="003A4554">
      <w:pPr>
        <w:widowControl w:val="0"/>
        <w:autoSpaceDE w:val="0"/>
        <w:autoSpaceDN w:val="0"/>
        <w:adjustRightInd w:val="0"/>
        <w:spacing w:after="240" w:line="340" w:lineRule="atLeast"/>
        <w:rPr>
          <w:rFonts w:ascii="Helvetica" w:hAnsi="Helvetica" w:cs="Calibri"/>
          <w:sz w:val="22"/>
          <w:szCs w:val="22"/>
        </w:rPr>
      </w:pPr>
    </w:p>
    <w:p w14:paraId="7DFD35F7" w14:textId="77777777" w:rsidR="003A4554" w:rsidRDefault="003A4554" w:rsidP="003A4554">
      <w:pPr>
        <w:widowControl w:val="0"/>
        <w:autoSpaceDE w:val="0"/>
        <w:autoSpaceDN w:val="0"/>
        <w:adjustRightInd w:val="0"/>
        <w:spacing w:after="240" w:line="340" w:lineRule="atLeast"/>
        <w:rPr>
          <w:rFonts w:ascii="Helvetica" w:hAnsi="Helvetica" w:cs="Calibri"/>
          <w:sz w:val="22"/>
          <w:szCs w:val="22"/>
        </w:rPr>
      </w:pPr>
    </w:p>
    <w:p w14:paraId="760C35DF" w14:textId="77777777" w:rsidR="003A4554" w:rsidRDefault="003A4554" w:rsidP="003A4554">
      <w:pPr>
        <w:widowControl w:val="0"/>
        <w:autoSpaceDE w:val="0"/>
        <w:autoSpaceDN w:val="0"/>
        <w:adjustRightInd w:val="0"/>
        <w:spacing w:after="240" w:line="340" w:lineRule="atLeast"/>
        <w:rPr>
          <w:rFonts w:ascii="Helvetica" w:hAnsi="Helvetica" w:cs="Calibri"/>
          <w:sz w:val="22"/>
          <w:szCs w:val="22"/>
        </w:rPr>
      </w:pPr>
    </w:p>
    <w:p w14:paraId="4D7B90A4" w14:textId="77777777" w:rsidR="003A4554" w:rsidRDefault="003A4554" w:rsidP="003A4554">
      <w:pPr>
        <w:widowControl w:val="0"/>
        <w:autoSpaceDE w:val="0"/>
        <w:autoSpaceDN w:val="0"/>
        <w:adjustRightInd w:val="0"/>
        <w:spacing w:after="240" w:line="340" w:lineRule="atLeast"/>
        <w:rPr>
          <w:rFonts w:ascii="Helvetica" w:hAnsi="Helvetica" w:cs="Calibri"/>
          <w:sz w:val="22"/>
          <w:szCs w:val="22"/>
        </w:rPr>
      </w:pPr>
    </w:p>
    <w:p w14:paraId="1868BB52" w14:textId="77777777" w:rsidR="003A4554" w:rsidRDefault="003A4554" w:rsidP="003A4554">
      <w:pPr>
        <w:widowControl w:val="0"/>
        <w:autoSpaceDE w:val="0"/>
        <w:autoSpaceDN w:val="0"/>
        <w:adjustRightInd w:val="0"/>
        <w:spacing w:after="240" w:line="340" w:lineRule="atLeast"/>
        <w:rPr>
          <w:rFonts w:ascii="Helvetica" w:hAnsi="Helvetica" w:cs="Calibri"/>
          <w:sz w:val="22"/>
          <w:szCs w:val="22"/>
        </w:rPr>
      </w:pPr>
    </w:p>
    <w:p w14:paraId="22B32C2A" w14:textId="77777777" w:rsidR="003A4554" w:rsidRPr="003A4554" w:rsidRDefault="003A4554" w:rsidP="003A4554">
      <w:pPr>
        <w:widowControl w:val="0"/>
        <w:autoSpaceDE w:val="0"/>
        <w:autoSpaceDN w:val="0"/>
        <w:adjustRightInd w:val="0"/>
        <w:spacing w:after="240" w:line="340" w:lineRule="atLeast"/>
        <w:rPr>
          <w:rFonts w:ascii="Helvetica" w:hAnsi="Helvetica" w:cs="Times"/>
          <w:sz w:val="22"/>
          <w:szCs w:val="22"/>
        </w:rPr>
      </w:pPr>
      <w:r w:rsidRPr="003A4554">
        <w:rPr>
          <w:rFonts w:ascii="Helvetica" w:hAnsi="Helvetica" w:cs="Arial"/>
          <w:b/>
          <w:bCs/>
          <w:i/>
          <w:iCs/>
          <w:sz w:val="22"/>
          <w:szCs w:val="22"/>
        </w:rPr>
        <w:lastRenderedPageBreak/>
        <w:t xml:space="preserve">Figure 1: CSISG expanded model </w:t>
      </w:r>
    </w:p>
    <w:p w14:paraId="4EB20C7E" w14:textId="7CDD3515" w:rsidR="003A4554" w:rsidRPr="003A4554" w:rsidRDefault="003A4554" w:rsidP="003A4554">
      <w:pPr>
        <w:widowControl w:val="0"/>
        <w:autoSpaceDE w:val="0"/>
        <w:autoSpaceDN w:val="0"/>
        <w:adjustRightInd w:val="0"/>
        <w:spacing w:line="280" w:lineRule="atLeast"/>
        <w:rPr>
          <w:rFonts w:ascii="Helvetica" w:hAnsi="Helvetica" w:cs="Times"/>
          <w:sz w:val="22"/>
          <w:szCs w:val="22"/>
        </w:rPr>
      </w:pPr>
      <w:r w:rsidRPr="003A4554">
        <w:rPr>
          <w:rFonts w:ascii="Helvetica" w:hAnsi="Helvetica" w:cs="Times"/>
          <w:noProof/>
          <w:sz w:val="22"/>
          <w:szCs w:val="22"/>
        </w:rPr>
        <w:drawing>
          <wp:inline distT="0" distB="0" distL="0" distR="0" wp14:anchorId="69FC4011" wp14:editId="75EF6AB2">
            <wp:extent cx="5502275" cy="328041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02275" cy="3280410"/>
                    </a:xfrm>
                    <a:prstGeom prst="rect">
                      <a:avLst/>
                    </a:prstGeom>
                    <a:noFill/>
                    <a:ln>
                      <a:noFill/>
                    </a:ln>
                  </pic:spPr>
                </pic:pic>
              </a:graphicData>
            </a:graphic>
          </wp:inline>
        </w:drawing>
      </w:r>
    </w:p>
    <w:p w14:paraId="7FB8CE39" w14:textId="6B0CC103" w:rsidR="003A4554" w:rsidRPr="003A4554" w:rsidRDefault="003A4554" w:rsidP="003A4554">
      <w:pPr>
        <w:widowControl w:val="0"/>
        <w:autoSpaceDE w:val="0"/>
        <w:autoSpaceDN w:val="0"/>
        <w:adjustRightInd w:val="0"/>
        <w:spacing w:after="240" w:line="360" w:lineRule="atLeast"/>
        <w:rPr>
          <w:rFonts w:ascii="Helvetica" w:hAnsi="Helvetica" w:cs="Times"/>
          <w:sz w:val="22"/>
          <w:szCs w:val="22"/>
        </w:rPr>
      </w:pPr>
      <w:r w:rsidRPr="003A4554">
        <w:rPr>
          <w:rFonts w:ascii="Helvetica" w:hAnsi="Helvetica" w:cs="Calibri"/>
          <w:sz w:val="22"/>
          <w:szCs w:val="22"/>
        </w:rPr>
        <w:t xml:space="preserve"> </w:t>
      </w:r>
    </w:p>
    <w:sectPr w:rsidR="003A4554" w:rsidRPr="003A4554" w:rsidSect="000E2C4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23"/>
    <w:rsid w:val="00054D23"/>
    <w:rsid w:val="000E2C41"/>
    <w:rsid w:val="003A4554"/>
    <w:rsid w:val="006863D6"/>
    <w:rsid w:val="00C3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F167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249</Words>
  <Characters>1423</Characters>
  <Application>Microsoft Macintosh Word</Application>
  <DocSecurity>0</DocSecurity>
  <Lines>11</Lines>
  <Paragraphs>3</Paragraphs>
  <ScaleCrop>false</ScaleCrop>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Gowtham Natrajan ALAGAR</dc:creator>
  <cp:keywords/>
  <dc:description/>
  <cp:lastModifiedBy>Gowtham Natrajan ALAGAR</cp:lastModifiedBy>
  <cp:revision>3</cp:revision>
  <dcterms:created xsi:type="dcterms:W3CDTF">2016-06-30T08:58:00Z</dcterms:created>
  <dcterms:modified xsi:type="dcterms:W3CDTF">2017-09-26T08:17:00Z</dcterms:modified>
</cp:coreProperties>
</file>